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B0" w:rsidRDefault="002F47E4">
      <w:r>
        <w:t>ГОСУДАРСТВЕННЫЙ КОМИТЕТ РОССИЙСКОЙ ФЕДЕРАЦИИ ПО ВОПРО</w:t>
      </w:r>
      <w:r w:rsidR="00416162">
        <w:t>САМ АРХИТЕКТУРЫ И СТРОИТЕЛЬСТВА</w:t>
      </w:r>
      <w:r>
        <w:br/>
        <w:t>ПИСЬМО</w:t>
      </w:r>
      <w:r>
        <w:br/>
        <w:t>от</w:t>
      </w:r>
      <w:r w:rsidR="003F64B0">
        <w:t xml:space="preserve"> 1 апреля 1994 года N ВА-105/13</w:t>
      </w:r>
      <w:r>
        <w:br/>
        <w:t xml:space="preserve">О применении в железобетонных конструкциях </w:t>
      </w:r>
      <w:r w:rsidR="00416162">
        <w:t xml:space="preserve">арматурной стали новых видов </w:t>
      </w:r>
      <w:r>
        <w:br/>
      </w:r>
      <w:proofErr w:type="spellStart"/>
      <w:r>
        <w:t>Западно-Сибирским</w:t>
      </w:r>
      <w:proofErr w:type="spellEnd"/>
      <w:r>
        <w:t xml:space="preserve"> металлургическим комбинатом (г</w:t>
      </w:r>
      <w:proofErr w:type="gramStart"/>
      <w:r>
        <w:t>.Н</w:t>
      </w:r>
      <w:proofErr w:type="gramEnd"/>
      <w:r>
        <w:t xml:space="preserve">овокузнецк) начат выпуск </w:t>
      </w:r>
      <w:proofErr w:type="spellStart"/>
      <w:r>
        <w:t>термомеханически</w:t>
      </w:r>
      <w:proofErr w:type="spellEnd"/>
      <w:r>
        <w:t xml:space="preserve"> упрочненной арматурной стали новых видов - классов А400С и А500С по ТУ 14-1-5254-94 "Прокат периодического профиля с серповидными поперечными ребрами для армирования железобетонных конструкций" с механическими свойствами, п</w:t>
      </w:r>
      <w:r w:rsidR="003F64B0">
        <w:t>риведенными в таблице.</w:t>
      </w:r>
      <w:r w:rsidR="003F64B0">
        <w:br/>
        <w:t xml:space="preserve">Таблица </w:t>
      </w:r>
    </w:p>
    <w:tbl>
      <w:tblPr>
        <w:tblStyle w:val="a3"/>
        <w:tblW w:w="0" w:type="auto"/>
        <w:tblLook w:val="04A0"/>
      </w:tblPr>
      <w:tblGrid>
        <w:gridCol w:w="1831"/>
        <w:gridCol w:w="1831"/>
        <w:gridCol w:w="1831"/>
        <w:gridCol w:w="1831"/>
        <w:gridCol w:w="1832"/>
      </w:tblGrid>
      <w:tr w:rsidR="003F64B0" w:rsidTr="00C14BAA">
        <w:tc>
          <w:tcPr>
            <w:tcW w:w="1831" w:type="dxa"/>
            <w:vMerge w:val="restart"/>
          </w:tcPr>
          <w:p w:rsidR="003F64B0" w:rsidRDefault="003F64B0">
            <w:r>
              <w:t>Класс арматурной стали</w:t>
            </w:r>
          </w:p>
        </w:tc>
        <w:tc>
          <w:tcPr>
            <w:tcW w:w="7325" w:type="dxa"/>
            <w:gridSpan w:val="4"/>
          </w:tcPr>
          <w:p w:rsidR="003F64B0" w:rsidRPr="003F64B0" w:rsidRDefault="003F64B0">
            <w:r w:rsidRPr="003F64B0">
              <w:t>Механические свойства арматурной стали</w:t>
            </w:r>
          </w:p>
        </w:tc>
      </w:tr>
      <w:tr w:rsidR="003F64B0" w:rsidTr="003F64B0">
        <w:tc>
          <w:tcPr>
            <w:tcW w:w="1831" w:type="dxa"/>
            <w:vMerge/>
          </w:tcPr>
          <w:p w:rsidR="003F64B0" w:rsidRDefault="003F64B0"/>
        </w:tc>
        <w:tc>
          <w:tcPr>
            <w:tcW w:w="1831" w:type="dxa"/>
          </w:tcPr>
          <w:p w:rsidR="003F64B0" w:rsidRPr="003F64B0" w:rsidRDefault="003F64B0" w:rsidP="003F64B0">
            <w:pPr>
              <w:rPr>
                <w:lang w:val="en-US"/>
              </w:rPr>
            </w:pPr>
            <w:r>
              <w:t>Предел текучести</w:t>
            </w:r>
          </w:p>
        </w:tc>
        <w:tc>
          <w:tcPr>
            <w:tcW w:w="1831" w:type="dxa"/>
          </w:tcPr>
          <w:p w:rsidR="003F64B0" w:rsidRDefault="003F64B0">
            <w:r w:rsidRPr="003F64B0">
              <w:t>Временное сопротивление</w:t>
            </w:r>
          </w:p>
        </w:tc>
        <w:tc>
          <w:tcPr>
            <w:tcW w:w="1831" w:type="dxa"/>
            <w:vMerge w:val="restart"/>
          </w:tcPr>
          <w:p w:rsidR="003F64B0" w:rsidRPr="003F64B0" w:rsidRDefault="003F64B0" w:rsidP="003F64B0">
            <w:pPr>
              <w:rPr>
                <w:lang w:val="en-US"/>
              </w:rPr>
            </w:pPr>
            <w:r>
              <w:t>Относительное удлинение</w:t>
            </w:r>
            <w:r>
              <w:rPr>
                <w:lang w:val="en-US"/>
              </w:rPr>
              <w:t>,</w:t>
            </w:r>
          </w:p>
          <w:p w:rsidR="003F64B0" w:rsidRDefault="003F64B0" w:rsidP="003F64B0">
            <w:r>
              <w:t>%</w:t>
            </w:r>
          </w:p>
        </w:tc>
        <w:tc>
          <w:tcPr>
            <w:tcW w:w="1832" w:type="dxa"/>
            <w:vMerge w:val="restart"/>
          </w:tcPr>
          <w:p w:rsidR="003F64B0" w:rsidRDefault="003F64B0">
            <w:r w:rsidRPr="003F64B0">
              <w:t>Угол изгиба при диаметре оправки c=3d</w:t>
            </w:r>
          </w:p>
        </w:tc>
      </w:tr>
      <w:tr w:rsidR="003F64B0" w:rsidTr="006D0615">
        <w:tc>
          <w:tcPr>
            <w:tcW w:w="1831" w:type="dxa"/>
            <w:vMerge/>
          </w:tcPr>
          <w:p w:rsidR="003F64B0" w:rsidRDefault="003F64B0"/>
        </w:tc>
        <w:tc>
          <w:tcPr>
            <w:tcW w:w="3662" w:type="dxa"/>
            <w:gridSpan w:val="2"/>
          </w:tcPr>
          <w:p w:rsidR="003F64B0" w:rsidRDefault="003F64B0">
            <w:r w:rsidRPr="003F64B0">
              <w:t>Н/мм</w:t>
            </w:r>
            <w:proofErr w:type="gramStart"/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к</w:t>
            </w:r>
            <w:proofErr w:type="gramEnd"/>
            <w:r>
              <w:rPr>
                <w:lang w:val="en-US"/>
              </w:rPr>
              <w:t>в</w:t>
            </w:r>
            <w:proofErr w:type="spellEnd"/>
          </w:p>
        </w:tc>
        <w:tc>
          <w:tcPr>
            <w:tcW w:w="1831" w:type="dxa"/>
            <w:vMerge/>
          </w:tcPr>
          <w:p w:rsidR="003F64B0" w:rsidRDefault="003F64B0"/>
        </w:tc>
        <w:tc>
          <w:tcPr>
            <w:tcW w:w="1832" w:type="dxa"/>
            <w:vMerge/>
          </w:tcPr>
          <w:p w:rsidR="003F64B0" w:rsidRDefault="003F64B0"/>
        </w:tc>
      </w:tr>
      <w:tr w:rsidR="003F64B0" w:rsidTr="00AD38E9">
        <w:tc>
          <w:tcPr>
            <w:tcW w:w="1831" w:type="dxa"/>
            <w:vMerge/>
          </w:tcPr>
          <w:p w:rsidR="003F64B0" w:rsidRDefault="003F64B0"/>
        </w:tc>
        <w:tc>
          <w:tcPr>
            <w:tcW w:w="7325" w:type="dxa"/>
            <w:gridSpan w:val="4"/>
          </w:tcPr>
          <w:p w:rsidR="003F64B0" w:rsidRDefault="003F64B0">
            <w:r>
              <w:t>Не менее</w:t>
            </w:r>
          </w:p>
        </w:tc>
      </w:tr>
      <w:tr w:rsidR="003F64B0" w:rsidTr="003F64B0">
        <w:tc>
          <w:tcPr>
            <w:tcW w:w="1831" w:type="dxa"/>
          </w:tcPr>
          <w:p w:rsidR="003F64B0" w:rsidRDefault="003F64B0">
            <w:r>
              <w:t>А400С</w:t>
            </w:r>
          </w:p>
        </w:tc>
        <w:tc>
          <w:tcPr>
            <w:tcW w:w="1831" w:type="dxa"/>
          </w:tcPr>
          <w:p w:rsidR="003F64B0" w:rsidRDefault="003F64B0">
            <w:r w:rsidRPr="003F64B0">
              <w:t>440</w:t>
            </w:r>
          </w:p>
        </w:tc>
        <w:tc>
          <w:tcPr>
            <w:tcW w:w="1831" w:type="dxa"/>
          </w:tcPr>
          <w:p w:rsidR="003F64B0" w:rsidRDefault="003F64B0">
            <w:r w:rsidRPr="003F64B0">
              <w:t>550</w:t>
            </w:r>
          </w:p>
        </w:tc>
        <w:tc>
          <w:tcPr>
            <w:tcW w:w="1831" w:type="dxa"/>
          </w:tcPr>
          <w:p w:rsidR="003F64B0" w:rsidRDefault="003F64B0">
            <w:r w:rsidRPr="003F64B0">
              <w:t>16</w:t>
            </w:r>
          </w:p>
        </w:tc>
        <w:tc>
          <w:tcPr>
            <w:tcW w:w="1832" w:type="dxa"/>
            <w:vMerge w:val="restart"/>
          </w:tcPr>
          <w:p w:rsidR="003F64B0" w:rsidRDefault="003F64B0">
            <w:r w:rsidRPr="003F64B0">
              <w:t>90°</w:t>
            </w:r>
          </w:p>
        </w:tc>
      </w:tr>
      <w:tr w:rsidR="003F64B0" w:rsidTr="003F64B0">
        <w:tc>
          <w:tcPr>
            <w:tcW w:w="1831" w:type="dxa"/>
          </w:tcPr>
          <w:p w:rsidR="003F64B0" w:rsidRDefault="003F64B0">
            <w:r>
              <w:t>А500С</w:t>
            </w:r>
          </w:p>
        </w:tc>
        <w:tc>
          <w:tcPr>
            <w:tcW w:w="1831" w:type="dxa"/>
          </w:tcPr>
          <w:p w:rsidR="003F64B0" w:rsidRDefault="003F64B0">
            <w:r w:rsidRPr="003F64B0">
              <w:t>500</w:t>
            </w:r>
          </w:p>
        </w:tc>
        <w:tc>
          <w:tcPr>
            <w:tcW w:w="1831" w:type="dxa"/>
          </w:tcPr>
          <w:p w:rsidR="003F64B0" w:rsidRDefault="003F64B0">
            <w:r w:rsidRPr="003F64B0">
              <w:t>600</w:t>
            </w:r>
          </w:p>
        </w:tc>
        <w:tc>
          <w:tcPr>
            <w:tcW w:w="1831" w:type="dxa"/>
          </w:tcPr>
          <w:p w:rsidR="003F64B0" w:rsidRDefault="003F64B0">
            <w:r w:rsidRPr="003F64B0">
              <w:t>14</w:t>
            </w:r>
          </w:p>
        </w:tc>
        <w:tc>
          <w:tcPr>
            <w:tcW w:w="1832" w:type="dxa"/>
            <w:vMerge/>
          </w:tcPr>
          <w:p w:rsidR="003F64B0" w:rsidRDefault="003F64B0"/>
        </w:tc>
      </w:tr>
    </w:tbl>
    <w:p w:rsidR="00527027" w:rsidRPr="00416162" w:rsidRDefault="002F47E4">
      <w:r>
        <w:br/>
        <w:t>Указанная арматура для железобетонных конструкций изготовляется из стали марки Ст3 по ГОСТ 380-88 и иных марок по ТУ 14-1-5254-94 с содержанием углерода не более 0,22%. Низкое содержание углерода в сочетании с термомеханической обработкой арматурной стали в потоке проката обеспечивает ее улучшенную свариваемость и пластичность, повышенную вязкость и долговечность. Эта арматурная сталь по своим свойствам отвечает требованиям международных стандартов - Е</w:t>
      </w:r>
      <w:proofErr w:type="gramStart"/>
      <w:r>
        <w:t>N</w:t>
      </w:r>
      <w:proofErr w:type="gramEnd"/>
      <w:r>
        <w:t xml:space="preserve"> 10080, ИСО 6935.2 и DIN 488.</w:t>
      </w:r>
      <w:r>
        <w:br/>
      </w:r>
      <w:r>
        <w:br/>
      </w:r>
      <w:proofErr w:type="gramStart"/>
      <w:r>
        <w:t>Арматурная сталь по указанным ТУ поставляется как с традиционным периодическим профилем по ГОСТ 5781-82, так и с улучшенным серповидным профилем (поперечные выступы не выходят на продольные ребра или стержни не имеют продольных ребер), соответствующем требованиям международных стандартов.</w:t>
      </w:r>
      <w:proofErr w:type="gramEnd"/>
      <w:r>
        <w:br/>
      </w:r>
      <w:r>
        <w:br/>
        <w:t xml:space="preserve">Арматурную сталь класса А400С рекомендуется применять в железобетонных конструкциях наряду и взамен арматурной стали классов </w:t>
      </w:r>
      <w:proofErr w:type="gramStart"/>
      <w:r>
        <w:t>А</w:t>
      </w:r>
      <w:proofErr w:type="gramEnd"/>
      <w:r>
        <w:t xml:space="preserve">-III марок 25Г2С и 35ГС по ГОСТ 5781-82 и </w:t>
      </w:r>
      <w:proofErr w:type="spellStart"/>
      <w:r>
        <w:t>Ат-ШС</w:t>
      </w:r>
      <w:proofErr w:type="spellEnd"/>
      <w:r>
        <w:t xml:space="preserve"> по ГОСТ 10884-81 тех же диаметров (без пересчета сечения</w:t>
      </w:r>
      <w:r w:rsidR="00416162">
        <w:t xml:space="preserve"> арматуры).</w:t>
      </w:r>
      <w:r>
        <w:br/>
        <w:t xml:space="preserve">Способы сварки, типы и конструктивные элементы сварных соединений арматурной стали класса А400С следует принимать согласно указаниям ГОСТ 14098-91 для арматурной стали класса </w:t>
      </w:r>
      <w:proofErr w:type="gramStart"/>
      <w:r>
        <w:t>А</w:t>
      </w:r>
      <w:proofErr w:type="gramEnd"/>
      <w:r>
        <w:t>-III марки 25Г2С тех же диаметров. Минимальное значение предела прочности сварных соединений арматурной стали класса А400С должно быть не менее 500 Н/мм</w:t>
      </w:r>
      <w:proofErr w:type="gramStart"/>
      <w:r>
        <w:t xml:space="preserve"> .</w:t>
      </w:r>
      <w:proofErr w:type="gramEnd"/>
      <w:r>
        <w:br/>
      </w:r>
      <w:r>
        <w:br/>
        <w:t xml:space="preserve">Арматурную сталь класса А500С, имеющую более высокие прочностные характеристики, следует применять в соответствии с разработанными </w:t>
      </w:r>
      <w:proofErr w:type="spellStart"/>
      <w:r>
        <w:t>НИИЖБом</w:t>
      </w:r>
      <w:proofErr w:type="spellEnd"/>
      <w:r>
        <w:t xml:space="preserve"> "Временными рекомендациями по применению в железобетонных конструкциях </w:t>
      </w:r>
      <w:proofErr w:type="spellStart"/>
      <w:r>
        <w:t>термомеханически</w:t>
      </w:r>
      <w:proofErr w:type="spellEnd"/>
      <w:r>
        <w:t xml:space="preserve"> упрочненной арматурной стали новых видов". Допускается применение этой арматуры взамен арматурной стали классов </w:t>
      </w:r>
      <w:proofErr w:type="gramStart"/>
      <w:r>
        <w:t>А</w:t>
      </w:r>
      <w:proofErr w:type="gramEnd"/>
      <w:r>
        <w:t xml:space="preserve">-III и </w:t>
      </w:r>
      <w:proofErr w:type="spellStart"/>
      <w:r>
        <w:t>Ат-ШС</w:t>
      </w:r>
      <w:proofErr w:type="spellEnd"/>
      <w:r>
        <w:t xml:space="preserve"> тех же диаметров (без пересчета сечения арматуры).</w:t>
      </w:r>
      <w:r>
        <w:br/>
      </w:r>
      <w:r>
        <w:br/>
        <w:t>Учитывая, что арматурная сталь указанных видов обладает повышенной пластичностью и позволяет улучшить качество сварных соединений арматурных и закладных изделий, обеспечивает значительную экономию легирующих элементов при ее производстве, Госстрой России рекомендует применение арматурной стали классов A400C и А500С по ТУ 14-1-5254-94 в железобетонных конструкциях взамен арматурн</w:t>
      </w:r>
      <w:r w:rsidR="00416162">
        <w:t xml:space="preserve">ой стали классов </w:t>
      </w:r>
      <w:proofErr w:type="gramStart"/>
      <w:r w:rsidR="00416162">
        <w:t>А</w:t>
      </w:r>
      <w:proofErr w:type="gramEnd"/>
      <w:r w:rsidR="00416162">
        <w:t xml:space="preserve">-III и </w:t>
      </w:r>
      <w:proofErr w:type="spellStart"/>
      <w:r w:rsidR="00416162">
        <w:t>Ат-ШС</w:t>
      </w:r>
      <w:proofErr w:type="spellEnd"/>
      <w:r w:rsidR="00416162">
        <w:t>.</w:t>
      </w:r>
      <w:r>
        <w:br/>
        <w:t xml:space="preserve">Консультативную помощь по внедрению арматурной стали классов А400С и А500С по ТУ 14-1-5254-94 можно получить в лаборатории арматуры </w:t>
      </w:r>
      <w:proofErr w:type="spellStart"/>
      <w:r>
        <w:t>НИИЖБа</w:t>
      </w:r>
      <w:proofErr w:type="spellEnd"/>
      <w:r>
        <w:t xml:space="preserve"> (109428, Москва, 2-я Институтская ул. 6; те</w:t>
      </w:r>
      <w:r w:rsidR="00416162">
        <w:t>лефоны 174-88-06 и 174-85-68).</w:t>
      </w:r>
      <w:r>
        <w:br/>
        <w:t>Заместитель председателя Госстроя России</w:t>
      </w:r>
      <w:r>
        <w:br/>
        <w:t>В.А.Алексеев</w:t>
      </w:r>
    </w:p>
    <w:sectPr w:rsidR="00527027" w:rsidRPr="00416162" w:rsidSect="003F64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E4"/>
    <w:rsid w:val="002F47E4"/>
    <w:rsid w:val="003F64B0"/>
    <w:rsid w:val="00416162"/>
    <w:rsid w:val="0052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2015-08-16T11:38:00Z</dcterms:created>
  <dcterms:modified xsi:type="dcterms:W3CDTF">2015-08-16T11:46:00Z</dcterms:modified>
</cp:coreProperties>
</file>